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67" w:rsidRDefault="00A82E67" w:rsidP="00A82E67">
      <w:pPr>
        <w:jc w:val="center"/>
        <w:rPr>
          <w:rFonts w:ascii="Baskerville Old Face" w:hAnsi="Baskerville Old Face" w:cs="Arial"/>
          <w:b/>
          <w:sz w:val="44"/>
          <w:szCs w:val="44"/>
        </w:rPr>
      </w:pPr>
      <w:r>
        <w:rPr>
          <w:rFonts w:ascii="Baskerville Old Face" w:hAnsi="Baskerville Old Face" w:cs="Arial"/>
          <w:b/>
          <w:sz w:val="44"/>
          <w:szCs w:val="44"/>
        </w:rPr>
        <w:t>Funciones Públicas</w:t>
      </w:r>
    </w:p>
    <w:p w:rsidR="00A82E67" w:rsidRDefault="00A82E67" w:rsidP="00A82E67">
      <w:pPr>
        <w:jc w:val="both"/>
        <w:rPr>
          <w:rFonts w:ascii="Bernard MT Condensed" w:hAnsi="Bernard MT Condensed" w:cs="Arial"/>
          <w:sz w:val="36"/>
          <w:szCs w:val="36"/>
        </w:rPr>
      </w:pPr>
    </w:p>
    <w:p w:rsidR="00A82E67" w:rsidRDefault="00A82E67" w:rsidP="00A82E67">
      <w:pPr>
        <w:jc w:val="both"/>
        <w:rPr>
          <w:rFonts w:ascii="Bernard MT Condensed" w:hAnsi="Bernard MT Condensed" w:cs="Arial"/>
          <w:sz w:val="36"/>
          <w:szCs w:val="36"/>
        </w:rPr>
      </w:pPr>
      <w:r>
        <w:rPr>
          <w:rFonts w:ascii="Bernard MT Condensed" w:hAnsi="Bernard MT Condensed" w:cs="Arial"/>
          <w:sz w:val="36"/>
          <w:szCs w:val="36"/>
        </w:rPr>
        <w:t>Fundamento Legal</w:t>
      </w:r>
    </w:p>
    <w:p w:rsidR="00A82E67" w:rsidRDefault="00A82E67" w:rsidP="00A82E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al artículo 115 fracción II de la Constitución Política de los Estados Unidos Mexicanos.</w:t>
      </w:r>
    </w:p>
    <w:p w:rsidR="00A82E67" w:rsidRDefault="00A82E67" w:rsidP="00A82E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artículo 40 </w:t>
      </w:r>
      <w:proofErr w:type="gramStart"/>
      <w:r>
        <w:rPr>
          <w:rFonts w:ascii="Arial" w:hAnsi="Arial" w:cs="Arial"/>
          <w:sz w:val="24"/>
          <w:szCs w:val="24"/>
        </w:rPr>
        <w:t>fracción</w:t>
      </w:r>
      <w:proofErr w:type="gramEnd"/>
      <w:r>
        <w:rPr>
          <w:rFonts w:ascii="Arial" w:hAnsi="Arial" w:cs="Arial"/>
          <w:sz w:val="24"/>
          <w:szCs w:val="24"/>
        </w:rPr>
        <w:t xml:space="preserve"> II de la Ley de Gobierno y Administración Pública Municipal del Estado de Jalisco.</w:t>
      </w:r>
    </w:p>
    <w:p w:rsidR="00A82E67" w:rsidRDefault="00A82E67" w:rsidP="00A82E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77 fracción II de la Constitución Política del Estado de Jalisco.</w:t>
      </w:r>
    </w:p>
    <w:p w:rsidR="00A82E67" w:rsidRDefault="00A82E67" w:rsidP="00A82E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2E67" w:rsidRDefault="00A82E67" w:rsidP="00A82E67">
      <w:pPr>
        <w:spacing w:after="0"/>
        <w:jc w:val="both"/>
        <w:rPr>
          <w:rFonts w:ascii="Bernard MT Condensed" w:hAnsi="Bernard MT Condensed" w:cs="Arial"/>
          <w:sz w:val="36"/>
          <w:szCs w:val="36"/>
        </w:rPr>
      </w:pPr>
      <w:r>
        <w:rPr>
          <w:rFonts w:ascii="Bernard MT Condensed" w:hAnsi="Bernard MT Condensed" w:cs="Arial"/>
          <w:sz w:val="36"/>
          <w:szCs w:val="36"/>
        </w:rPr>
        <w:t>Funciones Públicas</w:t>
      </w:r>
    </w:p>
    <w:p w:rsidR="00A82E67" w:rsidRDefault="00A82E67" w:rsidP="00A82E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las funciones públicas que realiza el director de deportes de Tenamaxtlán están la de vincular municipio con estado, organizar eventos deportivos donde se involucre a todos los sectores de la población, Apoyar a las instituciones educativas en la organización de eventos deportivos, involucrar a las personas de los diferentes localidades del municipio en las actividades que se realizan todo esto para mantener a nuestros pobladores desarrollando deporte lo cual traería grandes beneficios para la sociedad como son contribuir a la disminución de obesidad y uso de drogas.</w:t>
      </w:r>
    </w:p>
    <w:p w:rsidR="00A82E67" w:rsidRDefault="00A82E67" w:rsidP="00A82E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2E67" w:rsidRDefault="00A82E67" w:rsidP="00A82E67">
      <w:pPr>
        <w:spacing w:after="0"/>
        <w:jc w:val="both"/>
        <w:rPr>
          <w:rFonts w:ascii="Bernard MT Condensed" w:hAnsi="Bernard MT Condensed" w:cs="Arial"/>
          <w:sz w:val="36"/>
          <w:szCs w:val="36"/>
        </w:rPr>
      </w:pPr>
      <w:r>
        <w:rPr>
          <w:rFonts w:ascii="Bernard MT Condensed" w:hAnsi="Bernard MT Condensed" w:cs="Arial"/>
          <w:sz w:val="36"/>
          <w:szCs w:val="36"/>
        </w:rPr>
        <w:t>Recursos Materiales</w:t>
      </w:r>
    </w:p>
    <w:p w:rsidR="00A82E67" w:rsidRDefault="00A82E67" w:rsidP="00A82E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 se cuenta con recursos materiales</w:t>
      </w:r>
    </w:p>
    <w:p w:rsidR="00A82E67" w:rsidRDefault="00A82E67" w:rsidP="00A82E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2E67" w:rsidRDefault="00A82E67" w:rsidP="00A82E67">
      <w:pPr>
        <w:spacing w:after="0"/>
        <w:jc w:val="both"/>
        <w:rPr>
          <w:rFonts w:ascii="Bernard MT Condensed" w:hAnsi="Bernard MT Condensed" w:cs="Arial"/>
          <w:sz w:val="36"/>
          <w:szCs w:val="36"/>
        </w:rPr>
      </w:pPr>
      <w:r>
        <w:rPr>
          <w:rFonts w:ascii="Bernard MT Condensed" w:hAnsi="Bernard MT Condensed" w:cs="Arial"/>
          <w:sz w:val="36"/>
          <w:szCs w:val="36"/>
        </w:rPr>
        <w:t>Recursos Humanos</w:t>
      </w:r>
    </w:p>
    <w:p w:rsidR="00A82E67" w:rsidRDefault="00A82E67" w:rsidP="00A82E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organización de eventos y las diferentes actividades solo se cuenta con un promotor y en algunas ocasiones el apoyo de los compañeros de otras áreas.</w:t>
      </w:r>
    </w:p>
    <w:p w:rsidR="00A82E67" w:rsidRDefault="00A82E67" w:rsidP="00A82E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2E67" w:rsidRDefault="00A82E67" w:rsidP="00A82E67">
      <w:pPr>
        <w:spacing w:after="0"/>
        <w:jc w:val="both"/>
        <w:rPr>
          <w:rFonts w:ascii="Bernard MT Condensed" w:hAnsi="Bernard MT Condensed" w:cs="Arial"/>
          <w:sz w:val="36"/>
          <w:szCs w:val="36"/>
        </w:rPr>
      </w:pPr>
      <w:r>
        <w:rPr>
          <w:rFonts w:ascii="Bernard MT Condensed" w:hAnsi="Bernard MT Condensed" w:cs="Arial"/>
          <w:sz w:val="36"/>
          <w:szCs w:val="36"/>
        </w:rPr>
        <w:t xml:space="preserve">Recursos financieros </w:t>
      </w:r>
    </w:p>
    <w:p w:rsidR="00A82E67" w:rsidRDefault="00A82E67" w:rsidP="00A82E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área de Deportes no se cuenta con un presupuesto asignado como tal por lo que para organizar eventos se debe solicitar a tesorería. </w:t>
      </w:r>
    </w:p>
    <w:p w:rsidR="00A82E67" w:rsidRDefault="00A82E67" w:rsidP="00A82E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47AD" w:rsidRDefault="008247AD">
      <w:bookmarkStart w:id="0" w:name="_GoBack"/>
      <w:bookmarkEnd w:id="0"/>
    </w:p>
    <w:sectPr w:rsidR="00824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67"/>
    <w:rsid w:val="008247AD"/>
    <w:rsid w:val="00A8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3EB257-D59A-4A8D-A518-C7569156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E67"/>
    <w:rPr>
      <w:rFonts w:ascii="Calibri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2019-09-20T02:26:00Z</dcterms:created>
  <dcterms:modified xsi:type="dcterms:W3CDTF">2019-09-20T02:26:00Z</dcterms:modified>
</cp:coreProperties>
</file>